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1E4B" w:rsidRPr="00327A27" w:rsidRDefault="00327A27" w:rsidP="00327A27">
      <w:pPr>
        <w:jc w:val="center"/>
        <w:rPr>
          <w:rFonts w:cs="B Titr"/>
          <w:color w:val="FF0000"/>
          <w:sz w:val="32"/>
          <w:szCs w:val="32"/>
          <w:rtl/>
          <w:lang w:val="en-US" w:bidi="fa-IR"/>
        </w:rPr>
      </w:pPr>
      <w:r w:rsidRPr="00327A27">
        <w:rPr>
          <w:rFonts w:cs="B Titr" w:hint="cs"/>
          <w:color w:val="FF0000"/>
          <w:sz w:val="32"/>
          <w:szCs w:val="32"/>
          <w:rtl/>
          <w:lang w:val="en-US" w:bidi="fa-IR"/>
        </w:rPr>
        <w:t>کارنامه آموزش مداوم</w:t>
      </w:r>
    </w:p>
    <w:p w:rsidR="00327A27" w:rsidRDefault="00327A27" w:rsidP="00327A27">
      <w:pPr>
        <w:jc w:val="center"/>
        <w:rPr>
          <w:rtl/>
          <w:lang w:val="en-US" w:bidi="fa-IR"/>
        </w:rPr>
      </w:pPr>
    </w:p>
    <w:p w:rsidR="00327A27" w:rsidRDefault="00327A27" w:rsidP="00327A27">
      <w:pPr>
        <w:bidi/>
        <w:rPr>
          <w:rFonts w:cs="B Nazanin"/>
          <w:b/>
          <w:bCs/>
          <w:sz w:val="28"/>
          <w:szCs w:val="28"/>
          <w:rtl/>
          <w:lang w:val="en-US" w:bidi="fa-IR"/>
        </w:rPr>
      </w:pPr>
      <w:r w:rsidRPr="00327A27">
        <w:rPr>
          <w:rFonts w:cs="B Nazanin"/>
          <w:b/>
          <w:bCs/>
          <w:sz w:val="28"/>
          <w:szCs w:val="28"/>
          <w:rtl/>
          <w:lang w:val="en-US" w:bidi="fa-IR"/>
        </w:rPr>
        <w:t>در حال حاضر گواه</w:t>
      </w:r>
      <w:r w:rsidRPr="00327A27">
        <w:rPr>
          <w:rFonts w:cs="B Nazanin" w:hint="cs"/>
          <w:b/>
          <w:bCs/>
          <w:sz w:val="28"/>
          <w:szCs w:val="28"/>
          <w:rtl/>
          <w:lang w:val="en-US" w:bidi="fa-IR"/>
        </w:rPr>
        <w:t>ی</w:t>
      </w:r>
      <w:r w:rsidRPr="00327A27">
        <w:rPr>
          <w:rFonts w:cs="B Nazanin"/>
          <w:b/>
          <w:bCs/>
          <w:sz w:val="28"/>
          <w:szCs w:val="28"/>
          <w:rtl/>
          <w:lang w:val="en-US" w:bidi="fa-IR"/>
        </w:rPr>
        <w:t xml:space="preserve"> نها</w:t>
      </w:r>
      <w:r w:rsidRPr="00327A27">
        <w:rPr>
          <w:rFonts w:cs="B Nazanin" w:hint="cs"/>
          <w:b/>
          <w:bCs/>
          <w:sz w:val="28"/>
          <w:szCs w:val="28"/>
          <w:rtl/>
          <w:lang w:val="en-US" w:bidi="fa-IR"/>
        </w:rPr>
        <w:t>یی</w:t>
      </w:r>
      <w:r w:rsidRPr="00327A27">
        <w:rPr>
          <w:rFonts w:cs="B Nazanin"/>
          <w:b/>
          <w:bCs/>
          <w:sz w:val="28"/>
          <w:szCs w:val="28"/>
          <w:rtl/>
          <w:lang w:val="en-US" w:bidi="fa-IR"/>
        </w:rPr>
        <w:t xml:space="preserve"> فقط توسط مراکز آموزش مداوم دانشگاه صادر م</w:t>
      </w:r>
      <w:r w:rsidRPr="00327A27">
        <w:rPr>
          <w:rFonts w:cs="B Nazanin" w:hint="cs"/>
          <w:b/>
          <w:bCs/>
          <w:sz w:val="28"/>
          <w:szCs w:val="28"/>
          <w:rtl/>
          <w:lang w:val="en-US" w:bidi="fa-IR"/>
        </w:rPr>
        <w:t>ی</w:t>
      </w:r>
      <w:r w:rsidRPr="00327A27">
        <w:rPr>
          <w:rFonts w:cs="B Nazanin"/>
          <w:b/>
          <w:bCs/>
          <w:sz w:val="28"/>
          <w:szCs w:val="28"/>
          <w:rtl/>
          <w:lang w:val="en-US" w:bidi="fa-IR"/>
        </w:rPr>
        <w:t xml:space="preserve"> گردد و پس از صدور از طر</w:t>
      </w:r>
      <w:r w:rsidRPr="00327A27">
        <w:rPr>
          <w:rFonts w:cs="B Nazanin" w:hint="cs"/>
          <w:b/>
          <w:bCs/>
          <w:sz w:val="28"/>
          <w:szCs w:val="28"/>
          <w:rtl/>
          <w:lang w:val="en-US" w:bidi="fa-IR"/>
        </w:rPr>
        <w:t>ی</w:t>
      </w:r>
      <w:r w:rsidRPr="00327A27">
        <w:rPr>
          <w:rFonts w:cs="B Nazanin" w:hint="eastAsia"/>
          <w:b/>
          <w:bCs/>
          <w:sz w:val="28"/>
          <w:szCs w:val="28"/>
          <w:rtl/>
          <w:lang w:val="en-US" w:bidi="fa-IR"/>
        </w:rPr>
        <w:t>ق</w:t>
      </w:r>
      <w:r w:rsidRPr="00327A27">
        <w:rPr>
          <w:rFonts w:cs="B Nazanin"/>
          <w:b/>
          <w:bCs/>
          <w:sz w:val="28"/>
          <w:szCs w:val="28"/>
          <w:rtl/>
          <w:lang w:val="en-US" w:bidi="fa-IR"/>
        </w:rPr>
        <w:t xml:space="preserve"> </w:t>
      </w:r>
      <w:r>
        <w:rPr>
          <w:rFonts w:cs="B Nazanin" w:hint="cs"/>
          <w:b/>
          <w:bCs/>
          <w:sz w:val="28"/>
          <w:szCs w:val="28"/>
          <w:rtl/>
          <w:lang w:val="en-US" w:bidi="fa-IR"/>
        </w:rPr>
        <w:t>سایت آموزش مداوم کشوری</w:t>
      </w:r>
      <w:r w:rsidRPr="00327A27">
        <w:rPr>
          <w:rFonts w:cs="B Nazanin"/>
          <w:b/>
          <w:bCs/>
          <w:sz w:val="28"/>
          <w:szCs w:val="28"/>
          <w:rtl/>
          <w:lang w:val="en-US" w:bidi="fa-IR"/>
        </w:rPr>
        <w:t xml:space="preserve"> قابل دسترس است</w:t>
      </w:r>
      <w:r w:rsidRPr="00327A27">
        <w:rPr>
          <w:rFonts w:cs="B Nazanin"/>
          <w:b/>
          <w:bCs/>
          <w:sz w:val="28"/>
          <w:szCs w:val="28"/>
          <w:lang w:val="en-US" w:bidi="fa-IR"/>
        </w:rPr>
        <w:t>.</w:t>
      </w:r>
      <w:r w:rsidRPr="00327A27">
        <w:rPr>
          <w:rFonts w:cs="B Nazanin"/>
          <w:b/>
          <w:bCs/>
          <w:sz w:val="28"/>
          <w:szCs w:val="28"/>
          <w:rtl/>
          <w:lang w:val="en-US" w:bidi="fa-IR"/>
        </w:rPr>
        <w:t>جهت کسب اطلاعات ب</w:t>
      </w:r>
      <w:r w:rsidRPr="00327A27">
        <w:rPr>
          <w:rFonts w:cs="B Nazanin" w:hint="cs"/>
          <w:b/>
          <w:bCs/>
          <w:sz w:val="28"/>
          <w:szCs w:val="28"/>
          <w:rtl/>
          <w:lang w:val="en-US" w:bidi="fa-IR"/>
        </w:rPr>
        <w:t>ی</w:t>
      </w:r>
      <w:r w:rsidRPr="00327A27">
        <w:rPr>
          <w:rFonts w:cs="B Nazanin" w:hint="eastAsia"/>
          <w:b/>
          <w:bCs/>
          <w:sz w:val="28"/>
          <w:szCs w:val="28"/>
          <w:rtl/>
          <w:lang w:val="en-US" w:bidi="fa-IR"/>
        </w:rPr>
        <w:t>شتر</w:t>
      </w:r>
      <w:r w:rsidRPr="00327A27">
        <w:rPr>
          <w:rFonts w:cs="B Nazanin"/>
          <w:b/>
          <w:bCs/>
          <w:sz w:val="28"/>
          <w:szCs w:val="28"/>
          <w:rtl/>
          <w:lang w:val="en-US" w:bidi="fa-IR"/>
        </w:rPr>
        <w:t xml:space="preserve"> با دانشگاه مرکز م</w:t>
      </w:r>
      <w:r w:rsidRPr="00327A27">
        <w:rPr>
          <w:rFonts w:cs="B Nazanin" w:hint="cs"/>
          <w:b/>
          <w:bCs/>
          <w:sz w:val="28"/>
          <w:szCs w:val="28"/>
          <w:rtl/>
          <w:lang w:val="en-US" w:bidi="fa-IR"/>
        </w:rPr>
        <w:t>ی</w:t>
      </w:r>
      <w:r w:rsidRPr="00327A27">
        <w:rPr>
          <w:rFonts w:cs="B Nazanin" w:hint="eastAsia"/>
          <w:b/>
          <w:bCs/>
          <w:sz w:val="28"/>
          <w:szCs w:val="28"/>
          <w:rtl/>
          <w:lang w:val="en-US" w:bidi="fa-IR"/>
        </w:rPr>
        <w:t>زبان</w:t>
      </w:r>
      <w:r w:rsidRPr="00327A27">
        <w:rPr>
          <w:rFonts w:cs="B Nazanin"/>
          <w:b/>
          <w:bCs/>
          <w:sz w:val="28"/>
          <w:szCs w:val="28"/>
          <w:rtl/>
          <w:lang w:val="en-US" w:bidi="fa-IR"/>
        </w:rPr>
        <w:t xml:space="preserve"> خود تماس حاصل فرمائ</w:t>
      </w:r>
      <w:r w:rsidRPr="00327A27">
        <w:rPr>
          <w:rFonts w:cs="B Nazanin" w:hint="cs"/>
          <w:b/>
          <w:bCs/>
          <w:sz w:val="28"/>
          <w:szCs w:val="28"/>
          <w:rtl/>
          <w:lang w:val="en-US" w:bidi="fa-IR"/>
        </w:rPr>
        <w:t>ی</w:t>
      </w:r>
      <w:r w:rsidRPr="00327A27">
        <w:rPr>
          <w:rFonts w:cs="B Nazanin" w:hint="eastAsia"/>
          <w:b/>
          <w:bCs/>
          <w:sz w:val="28"/>
          <w:szCs w:val="28"/>
          <w:rtl/>
          <w:lang w:val="en-US" w:bidi="fa-IR"/>
        </w:rPr>
        <w:t>د</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lang w:eastAsia="en-GB"/>
          <w14:ligatures w14:val="none"/>
        </w:rPr>
      </w:pPr>
      <w:r w:rsidRPr="00327A27">
        <w:rPr>
          <w:rFonts w:ascii="Titr" w:eastAsia="Times New Roman" w:hAnsi="Titr" w:cs="B Nazanin"/>
          <w:b/>
          <w:bCs/>
          <w:color w:val="000000"/>
          <w:kern w:val="0"/>
          <w:sz w:val="28"/>
          <w:szCs w:val="28"/>
          <w:rtl/>
          <w:lang w:eastAsia="en-GB"/>
          <w14:ligatures w14:val="none"/>
        </w:rPr>
        <w:t>مطابق دستور العمل</w:t>
      </w:r>
      <w:r w:rsidRPr="00327A27">
        <w:rPr>
          <w:rFonts w:ascii="Calibri" w:eastAsia="Times New Roman" w:hAnsi="Calibri" w:cs="Calibri" w:hint="cs"/>
          <w:b/>
          <w:bCs/>
          <w:color w:val="000000"/>
          <w:kern w:val="0"/>
          <w:sz w:val="28"/>
          <w:szCs w:val="28"/>
          <w:rtl/>
          <w:lang w:eastAsia="en-GB"/>
          <w14:ligatures w14:val="none"/>
        </w:rPr>
        <w:t> </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صدور</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گواهی</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نهایی</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پنج</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ساله</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مشمولین</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ملزم</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به</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رعایت</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موارد</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ذیل</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می</w:t>
      </w:r>
      <w:r w:rsidRPr="00327A27">
        <w:rPr>
          <w:rFonts w:ascii="Titr" w:eastAsia="Times New Roman" w:hAnsi="Titr" w:cs="B Nazanin"/>
          <w:b/>
          <w:bCs/>
          <w:color w:val="000000"/>
          <w:kern w:val="0"/>
          <w:sz w:val="28"/>
          <w:szCs w:val="28"/>
          <w:rtl/>
          <w:lang w:eastAsia="en-GB"/>
          <w14:ligatures w14:val="none"/>
        </w:rPr>
        <w:t xml:space="preserve"> </w:t>
      </w:r>
      <w:r w:rsidRPr="00327A27">
        <w:rPr>
          <w:rFonts w:ascii="Titr" w:eastAsia="Times New Roman" w:hAnsi="Titr" w:cs="B Nazanin" w:hint="cs"/>
          <w:b/>
          <w:bCs/>
          <w:color w:val="000000"/>
          <w:kern w:val="0"/>
          <w:sz w:val="28"/>
          <w:szCs w:val="28"/>
          <w:rtl/>
          <w:lang w:eastAsia="en-GB"/>
          <w14:ligatures w14:val="none"/>
        </w:rPr>
        <w:t>باشند</w:t>
      </w:r>
      <w:r w:rsidRPr="00327A27">
        <w:rPr>
          <w:rFonts w:ascii="Titr" w:eastAsia="Times New Roman" w:hAnsi="Titr" w:cs="B Nazanin"/>
          <w:b/>
          <w:bCs/>
          <w:color w:val="000000"/>
          <w:kern w:val="0"/>
          <w:sz w:val="28"/>
          <w:szCs w:val="28"/>
          <w:rtl/>
          <w:lang w:eastAsia="en-GB"/>
          <w14:ligatures w14:val="none"/>
        </w:rPr>
        <w:t>:</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ملاک مشمولیت افراد</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سال فراغت از تحصیل از آخرین مدرک تحصیلی</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معتبر می باشد.</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 xml:space="preserve">* </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برای مشمولین تحصیل کرده خارج ازکشور تاریخ ارزشیابی نهائی دانشنامه نامبردگان در داخل کشور می باشد و در صورت نیاز به طی دوره تکمیل تاریخ اتمام دوره</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 xml:space="preserve"> مذکور در داخل کشور ملاک زمان فارغ التحصیلی خواهد بود.</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 مشمولینی که هنوز 5 سال از تاریخ فارغ التحصیلی سپری نگردیده جهت اخذ پروانه اشتغال به فعالیت حرفه ای نیاز به ارائه ی امتیازات آموزش مداوم ندارد و در پایان 5 سال پس از فراغت از تحصیل لازم است نسبت به ارائه ی 125 امتیاز اقدام نمایند.</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 کسب</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FF0000"/>
          <w:kern w:val="0"/>
          <w:sz w:val="28"/>
          <w:szCs w:val="28"/>
          <w:rtl/>
          <w:lang w:eastAsia="en-GB"/>
          <w14:ligatures w14:val="none"/>
        </w:rPr>
        <w:t>حداقل 15 امتیاز</w:t>
      </w:r>
      <w:r w:rsidRPr="00327A27">
        <w:rPr>
          <w:rFonts w:ascii="Calibri" w:eastAsia="Times New Roman" w:hAnsi="Calibri" w:cs="Calibri" w:hint="cs"/>
          <w:b/>
          <w:bCs/>
          <w:color w:val="FF0000"/>
          <w:kern w:val="0"/>
          <w:sz w:val="28"/>
          <w:szCs w:val="28"/>
          <w:rtl/>
          <w:lang w:eastAsia="en-GB"/>
          <w14:ligatures w14:val="none"/>
        </w:rPr>
        <w:t> </w:t>
      </w:r>
      <w:r w:rsidRPr="00327A27">
        <w:rPr>
          <w:rFonts w:ascii="BYekan" w:eastAsia="Times New Roman" w:hAnsi="BYekan" w:cs="B Nazanin" w:hint="cs"/>
          <w:b/>
          <w:bCs/>
          <w:color w:val="FF0000"/>
          <w:kern w:val="0"/>
          <w:sz w:val="28"/>
          <w:szCs w:val="28"/>
          <w:rtl/>
          <w:lang w:eastAsia="en-GB"/>
          <w14:ligatures w14:val="none"/>
        </w:rPr>
        <w:t>در هر سال</w:t>
      </w:r>
      <w:r w:rsidRPr="00327A27">
        <w:rPr>
          <w:rFonts w:ascii="BYekan" w:eastAsia="Times New Roman" w:hAnsi="BYekan" w:cs="B Nazanin" w:hint="cs"/>
          <w:b/>
          <w:bCs/>
          <w:color w:val="FF0000"/>
          <w:kern w:val="0"/>
          <w:sz w:val="28"/>
          <w:szCs w:val="28"/>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و در یک دوره 5 ساله 125 امتیاز برای کلیه ی مشمولین آموزش مداوم الزامی می باشد</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lang w:eastAsia="en-GB"/>
          <w14:ligatures w14:val="none"/>
        </w:rPr>
        <w:t>.</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کسب امتیاز از برنامه های</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همنام و هم محتوا</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مشروط به آن که</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در طی یکسال تکرار نشود</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بلامانع است</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lang w:eastAsia="en-GB"/>
          <w14:ligatures w14:val="none"/>
        </w:rPr>
        <w:t>.</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 مشمولین می توانند کلیه ی امتیازات خود را از شرکت در انواع برنامه های آموزش مداوم کسب نمایند</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lang w:eastAsia="en-GB"/>
          <w14:ligatures w14:val="none"/>
        </w:rPr>
        <w:t>.</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u w:val="single"/>
          <w:rtl/>
          <w:lang w:eastAsia="en-GB"/>
          <w14:ligatures w14:val="none"/>
        </w:rPr>
        <w:t>تبصره : الزاما" حداقل 20% امتیازات خود را از برنامه های مدون- مستمربالینی -کارگاه</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Arial" w:eastAsia="Times New Roman" w:hAnsi="Arial" w:cs="Arial" w:hint="cs"/>
          <w:b/>
          <w:bCs/>
          <w:color w:val="000000"/>
          <w:kern w:val="0"/>
          <w:sz w:val="28"/>
          <w:szCs w:val="28"/>
          <w:u w:val="single"/>
          <w:rtl/>
          <w:lang w:eastAsia="en-GB"/>
          <w14:ligatures w14:val="none"/>
        </w:rPr>
        <w:t>–</w:t>
      </w:r>
      <w:r w:rsidRPr="00327A27">
        <w:rPr>
          <w:rFonts w:ascii="BYekan" w:eastAsia="Times New Roman" w:hAnsi="BYekan" w:cs="B Nazanin" w:hint="cs"/>
          <w:b/>
          <w:bCs/>
          <w:color w:val="000000"/>
          <w:kern w:val="0"/>
          <w:sz w:val="28"/>
          <w:szCs w:val="28"/>
          <w:u w:val="single"/>
          <w:rtl/>
          <w:lang w:eastAsia="en-GB"/>
          <w14:ligatures w14:val="none"/>
        </w:rPr>
        <w:t>سخنرانی</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Arial" w:eastAsia="Times New Roman" w:hAnsi="Arial" w:cs="Arial" w:hint="cs"/>
          <w:b/>
          <w:bCs/>
          <w:color w:val="000000"/>
          <w:kern w:val="0"/>
          <w:sz w:val="28"/>
          <w:szCs w:val="28"/>
          <w:u w:val="single"/>
          <w:rtl/>
          <w:lang w:eastAsia="en-GB"/>
          <w14:ligatures w14:val="none"/>
        </w:rPr>
        <w:t>–</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ارائه پوستر</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Arial" w:eastAsia="Times New Roman" w:hAnsi="Arial" w:cs="Arial" w:hint="cs"/>
          <w:b/>
          <w:bCs/>
          <w:color w:val="000000"/>
          <w:kern w:val="0"/>
          <w:sz w:val="28"/>
          <w:szCs w:val="28"/>
          <w:u w:val="single"/>
          <w:rtl/>
          <w:lang w:eastAsia="en-GB"/>
          <w14:ligatures w14:val="none"/>
        </w:rPr>
        <w:t>–</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اولویت ملی کسب نمایند .</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 مشمولین می توانند</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FF0000"/>
          <w:kern w:val="0"/>
          <w:sz w:val="28"/>
          <w:szCs w:val="28"/>
          <w:rtl/>
          <w:lang w:eastAsia="en-GB"/>
          <w14:ligatures w14:val="none"/>
        </w:rPr>
        <w:t>حداکثر40 درصد</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از امتیازات خود را از</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FF0000"/>
          <w:kern w:val="0"/>
          <w:sz w:val="28"/>
          <w:szCs w:val="28"/>
          <w:rtl/>
          <w:lang w:eastAsia="en-GB"/>
          <w14:ligatures w14:val="none"/>
        </w:rPr>
        <w:t>برنامه های غیرحضوری</w:t>
      </w:r>
      <w:r w:rsidRPr="00327A27">
        <w:rPr>
          <w:rFonts w:ascii="Calibri" w:eastAsia="Times New Roman" w:hAnsi="Calibri" w:cs="Calibri" w:hint="cs"/>
          <w:b/>
          <w:bCs/>
          <w:color w:val="FF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کسب نمایند .</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lastRenderedPageBreak/>
        <w:t>* امتیازات کسب شده</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 xml:space="preserve"> از</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تاریخ مندرج شده در متن گواهی نهایی صادره</w:t>
      </w:r>
      <w:r w:rsidRPr="00327A27">
        <w:rPr>
          <w:rFonts w:ascii="BYekan" w:eastAsia="Times New Roman" w:hAnsi="BYekan" w:cs="B Nazanin" w:hint="cs"/>
          <w:b/>
          <w:bCs/>
          <w:color w:val="000000"/>
          <w:kern w:val="0"/>
          <w:sz w:val="28"/>
          <w:szCs w:val="28"/>
          <w:rtl/>
          <w:lang w:eastAsia="en-GB"/>
          <w14:ligatures w14:val="none"/>
        </w:rPr>
        <w:t>(روز-ماه</w:t>
      </w:r>
      <w:r w:rsidRPr="00327A27">
        <w:rPr>
          <w:rFonts w:ascii="Calibri" w:eastAsia="Times New Roman" w:hAnsi="Calibri" w:cs="Calibri" w:hint="cs"/>
          <w:b/>
          <w:bCs/>
          <w:color w:val="000000"/>
          <w:kern w:val="0"/>
          <w:sz w:val="28"/>
          <w:szCs w:val="28"/>
          <w:rtl/>
          <w:lang w:eastAsia="en-GB"/>
          <w14:ligatures w14:val="none"/>
        </w:rPr>
        <w:t> </w:t>
      </w:r>
      <w:r w:rsidRPr="00327A27">
        <w:rPr>
          <w:rFonts w:ascii="Arial" w:eastAsia="Times New Roman" w:hAnsi="Arial" w:cs="Arial" w:hint="cs"/>
          <w:b/>
          <w:bCs/>
          <w:color w:val="000000"/>
          <w:kern w:val="0"/>
          <w:sz w:val="28"/>
          <w:szCs w:val="28"/>
          <w:rtl/>
          <w:lang w:eastAsia="en-GB"/>
          <w14:ligatures w14:val="none"/>
        </w:rPr>
        <w:t>–</w:t>
      </w:r>
      <w:r w:rsidRPr="00327A27">
        <w:rPr>
          <w:rFonts w:ascii="BYekan" w:eastAsia="Times New Roman" w:hAnsi="BYekan" w:cs="B Nazanin" w:hint="cs"/>
          <w:b/>
          <w:bCs/>
          <w:color w:val="000000"/>
          <w:kern w:val="0"/>
          <w:sz w:val="28"/>
          <w:szCs w:val="28"/>
          <w:rtl/>
          <w:lang w:eastAsia="en-GB"/>
          <w14:ligatures w14:val="none"/>
        </w:rPr>
        <w:t>سال) برای دوره بعد قابل ذخیره می باشد.</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ثبت درخواست</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گواهی نهایی 5 ساله و سایر گواهی های مورد نظر برای تمدید پروانه فعالیت حرفه ای</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از طریق سامانه آموزش مداوم الزامی است</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 ( ایتم درخواست گواهی نهایی و موقت)</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جهت صدور گواهی نهایی و سایر گواهی ها امتیازات بازآموزی قابل قبول است که در سامانه ی آموزش مداوم</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ثبت و تایید</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شده باشد.</w:t>
      </w:r>
    </w:p>
    <w:p w:rsidR="00327A27" w:rsidRPr="00327A27" w:rsidRDefault="00327A27" w:rsidP="00327A27">
      <w:pPr>
        <w:shd w:val="clear" w:color="auto" w:fill="FFFFFF"/>
        <w:bidi/>
        <w:spacing w:before="100" w:beforeAutospacing="1" w:after="100" w:afterAutospacing="1" w:line="300" w:lineRule="atLeast"/>
        <w:rPr>
          <w:rFonts w:ascii="BYekan" w:eastAsia="Times New Roman" w:hAnsi="BYekan" w:cs="B Nazanin"/>
          <w:color w:val="000000"/>
          <w:kern w:val="0"/>
          <w:sz w:val="28"/>
          <w:szCs w:val="28"/>
          <w:rtl/>
          <w:lang w:eastAsia="en-GB"/>
          <w14:ligatures w14:val="none"/>
        </w:rPr>
      </w:pPr>
      <w:r w:rsidRPr="00327A27">
        <w:rPr>
          <w:rFonts w:ascii="BYekan" w:eastAsia="Times New Roman" w:hAnsi="BYekan" w:cs="B Nazanin" w:hint="cs"/>
          <w:b/>
          <w:bCs/>
          <w:color w:val="000000"/>
          <w:kern w:val="0"/>
          <w:sz w:val="28"/>
          <w:szCs w:val="28"/>
          <w:rtl/>
          <w:lang w:eastAsia="en-GB"/>
          <w14:ligatures w14:val="none"/>
        </w:rPr>
        <w:t xml:space="preserve">* مشمولینی که به علت کسر امتیاز </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مهلت کرونا</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 xml:space="preserve"> و از</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 xml:space="preserve">کمیته ماده 6 </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مهلت دریافت نموده و تاریخ انقضای مهلت آن ها سال 1401 است و نیز کسانی که</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به هر دلیل برای دریافت گواهی نهایی 5 ساله اقدام</w:t>
      </w:r>
      <w:r w:rsidRPr="00327A27">
        <w:rPr>
          <w:rFonts w:ascii="Calibri" w:eastAsia="Times New Roman" w:hAnsi="Calibri" w:cs="Calibri" w:hint="cs"/>
          <w:b/>
          <w:bCs/>
          <w:color w:val="000000"/>
          <w:kern w:val="0"/>
          <w:sz w:val="28"/>
          <w:szCs w:val="28"/>
          <w:u w:val="single"/>
          <w:rtl/>
          <w:lang w:eastAsia="en-GB"/>
          <w14:ligatures w14:val="none"/>
        </w:rPr>
        <w:t> </w:t>
      </w:r>
      <w:r w:rsidRPr="00327A27">
        <w:rPr>
          <w:rFonts w:ascii="BYekan" w:eastAsia="Times New Roman" w:hAnsi="BYekan" w:cs="B Nazanin" w:hint="cs"/>
          <w:b/>
          <w:bCs/>
          <w:color w:val="000000"/>
          <w:kern w:val="0"/>
          <w:sz w:val="28"/>
          <w:szCs w:val="28"/>
          <w:u w:val="single"/>
          <w:rtl/>
          <w:lang w:eastAsia="en-GB"/>
          <w14:ligatures w14:val="none"/>
        </w:rPr>
        <w:t xml:space="preserve"> ننموده اند،</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موظف هستند در وقت بررسی کارنامه</w:t>
      </w:r>
      <w:r w:rsidRPr="00327A27">
        <w:rPr>
          <w:rFonts w:ascii="Calibri" w:eastAsia="Times New Roman" w:hAnsi="Calibri" w:cs="Calibri" w:hint="cs"/>
          <w:b/>
          <w:bCs/>
          <w:color w:val="000000"/>
          <w:kern w:val="0"/>
          <w:sz w:val="28"/>
          <w:szCs w:val="28"/>
          <w:rtl/>
          <w:lang w:eastAsia="en-GB"/>
          <w14:ligatures w14:val="none"/>
        </w:rPr>
        <w:t> </w:t>
      </w:r>
      <w:r w:rsidRPr="00327A27">
        <w:rPr>
          <w:rFonts w:ascii="BYekan" w:eastAsia="Times New Roman" w:hAnsi="BYekan" w:cs="B Nazanin" w:hint="cs"/>
          <w:b/>
          <w:bCs/>
          <w:color w:val="FF0000"/>
          <w:kern w:val="0"/>
          <w:sz w:val="28"/>
          <w:szCs w:val="28"/>
          <w:rtl/>
          <w:lang w:eastAsia="en-GB"/>
          <w14:ligatures w14:val="none"/>
        </w:rPr>
        <w:t>حداقل 25 امتیاز ورودی پنج سال گذشته</w:t>
      </w:r>
      <w:r w:rsidRPr="00327A27">
        <w:rPr>
          <w:rFonts w:ascii="Calibri" w:eastAsia="Times New Roman" w:hAnsi="Calibri" w:cs="Calibri" w:hint="cs"/>
          <w:b/>
          <w:bCs/>
          <w:color w:val="FF0000"/>
          <w:kern w:val="0"/>
          <w:sz w:val="28"/>
          <w:szCs w:val="28"/>
          <w:rtl/>
          <w:lang w:eastAsia="en-GB"/>
          <w14:ligatures w14:val="none"/>
        </w:rPr>
        <w:t>  </w:t>
      </w:r>
      <w:r w:rsidRPr="00327A27">
        <w:rPr>
          <w:rFonts w:ascii="BYekan" w:eastAsia="Times New Roman" w:hAnsi="BYekan" w:cs="B Nazanin" w:hint="cs"/>
          <w:b/>
          <w:bCs/>
          <w:color w:val="000000"/>
          <w:kern w:val="0"/>
          <w:sz w:val="28"/>
          <w:szCs w:val="28"/>
          <w:rtl/>
          <w:lang w:eastAsia="en-GB"/>
          <w14:ligatures w14:val="none"/>
        </w:rPr>
        <w:t>را کسب نموده باشند.</w:t>
      </w:r>
    </w:p>
    <w:tbl>
      <w:tblPr>
        <w:tblW w:w="0" w:type="auto"/>
        <w:jc w:val="right"/>
        <w:tblCellSpacing w:w="0" w:type="dxa"/>
        <w:tblCellMar>
          <w:left w:w="0" w:type="dxa"/>
          <w:right w:w="0" w:type="dxa"/>
        </w:tblCellMar>
        <w:tblLook w:val="04A0" w:firstRow="1" w:lastRow="0" w:firstColumn="1" w:lastColumn="0" w:noHBand="0" w:noVBand="1"/>
      </w:tblPr>
      <w:tblGrid>
        <w:gridCol w:w="9026"/>
      </w:tblGrid>
      <w:tr w:rsidR="00327A27" w:rsidRPr="00327A27" w:rsidTr="00327A27">
        <w:trPr>
          <w:tblCellSpacing w:w="0" w:type="dxa"/>
          <w:jc w:val="right"/>
        </w:trPr>
        <w:tc>
          <w:tcPr>
            <w:tcW w:w="0" w:type="auto"/>
            <w:tcMar>
              <w:top w:w="0" w:type="dxa"/>
              <w:left w:w="187" w:type="dxa"/>
              <w:bottom w:w="0" w:type="dxa"/>
              <w:right w:w="187" w:type="dxa"/>
            </w:tcMar>
            <w:hideMark/>
          </w:tcPr>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Times New Roman" w:eastAsia="Times New Roman" w:hAnsi="Times New Roman" w:cs="B Nazanin" w:hint="cs"/>
                <w:b/>
                <w:bCs/>
                <w:kern w:val="0"/>
                <w:sz w:val="28"/>
                <w:szCs w:val="28"/>
                <w:rtl/>
                <w:lang w:eastAsia="en-GB"/>
                <w14:ligatures w14:val="none"/>
              </w:rPr>
              <w:t>2-مشمولینی که دارای دو یا چند مدرک تحصیلی معتبر در رشته های علوم پزشکی مصوب وزارت بهداشت می باشند می توانند از بابت شرکت در برنامه ها مطابق این مقررات امتیاز کسب نمایند.</w:t>
            </w:r>
          </w:p>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Times New Roman" w:eastAsia="Times New Roman" w:hAnsi="Times New Roman" w:cs="B Nazanin" w:hint="cs"/>
                <w:b/>
                <w:bCs/>
                <w:kern w:val="0"/>
                <w:sz w:val="28"/>
                <w:szCs w:val="28"/>
                <w:rtl/>
                <w:lang w:eastAsia="en-GB"/>
                <w14:ligatures w14:val="none"/>
              </w:rPr>
              <w:t>الف) مدرک تحصیلی همسو</w:t>
            </w:r>
            <w:r w:rsidRPr="00327A27">
              <w:rPr>
                <w:rFonts w:ascii="Titr" w:eastAsia="Times New Roman" w:hAnsi="Titr" w:cs="B Nazanin"/>
                <w:b/>
                <w:bCs/>
                <w:kern w:val="0"/>
                <w:sz w:val="28"/>
                <w:szCs w:val="28"/>
                <w:rtl/>
                <w:lang w:eastAsia="en-GB"/>
                <w14:ligatures w14:val="none"/>
              </w:rPr>
              <w:t>:</w:t>
            </w:r>
          </w:p>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Times New Roman" w:eastAsia="Times New Roman" w:hAnsi="Times New Roman" w:cs="B Nazanin" w:hint="cs"/>
                <w:b/>
                <w:bCs/>
                <w:kern w:val="0"/>
                <w:sz w:val="28"/>
                <w:szCs w:val="28"/>
                <w:rtl/>
                <w:lang w:eastAsia="en-GB"/>
                <w14:ligatures w14:val="none"/>
              </w:rPr>
              <w:t>شامل مدارک دانش آموختگی در مقاطع تحصیلی عالی هستند که یکی پیش نیاز دیگری به ادامه تحصیلی در مدارج تحصیلی بالاتر باشد.به عنوان مثال : دکترای عمویی پیش نیاز تخصص داخلی و تخصص پیش نیاز فوق تخصص</w:t>
            </w:r>
          </w:p>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Times New Roman" w:eastAsia="Times New Roman" w:hAnsi="Times New Roman" w:cs="B Nazanin" w:hint="cs"/>
                <w:b/>
                <w:bCs/>
                <w:kern w:val="0"/>
                <w:sz w:val="28"/>
                <w:szCs w:val="28"/>
                <w:rtl/>
                <w:lang w:eastAsia="en-GB"/>
                <w14:ligatures w14:val="none"/>
              </w:rPr>
              <w:t>توضیح:درخصوص رشته های همسو ملاک برای ثبت مدرک تحصیلی مشمول در سامانه آموزش مداوم ؛ آخرین یا بالاترین آن می باشد. در این صورت مشمول تنها قادر است امتیاز برنامه هایی را دریافت نماید که در آن ها آخرین رشته تحصیلی مشمول در بین گروه هدف باشد.</w:t>
            </w:r>
          </w:p>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Times New Roman" w:eastAsia="Times New Roman" w:hAnsi="Times New Roman" w:cs="B Nazanin" w:hint="cs"/>
                <w:b/>
                <w:bCs/>
                <w:kern w:val="0"/>
                <w:sz w:val="28"/>
                <w:szCs w:val="28"/>
                <w:rtl/>
                <w:lang w:eastAsia="en-GB"/>
                <w14:ligatures w14:val="none"/>
              </w:rPr>
              <w:t>تبصره : باتوجه به تعداد کم دانش آموخته در برخی از رشته های همسو و تعداد معدود برنامه های آموزش مداوم برای این رشته ها ، مشمولین مجاز هستند در صورت تمایل در برنامه رشته های اعلام شده ثبت نام و مطابق مقررات امتیاز مربوطه را کسب نمایند.</w:t>
            </w:r>
          </w:p>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Times New Roman" w:eastAsia="Times New Roman" w:hAnsi="Times New Roman" w:cs="B Nazanin" w:hint="cs"/>
                <w:b/>
                <w:bCs/>
                <w:kern w:val="0"/>
                <w:sz w:val="28"/>
                <w:szCs w:val="28"/>
                <w:rtl/>
                <w:lang w:eastAsia="en-GB"/>
                <w14:ligatures w14:val="none"/>
              </w:rPr>
              <w:lastRenderedPageBreak/>
              <w:t>به طور مثال : می توان رشته های انگل شناسی</w:t>
            </w:r>
            <w:r w:rsidRPr="00327A27">
              <w:rPr>
                <w:rFonts w:ascii="Calibri" w:eastAsia="Times New Roman" w:hAnsi="Calibri" w:cs="Calibri" w:hint="cs"/>
                <w:b/>
                <w:bCs/>
                <w:kern w:val="0"/>
                <w:sz w:val="28"/>
                <w:szCs w:val="28"/>
                <w:rtl/>
                <w:lang w:eastAsia="en-GB"/>
                <w14:ligatures w14:val="none"/>
              </w:rPr>
              <w:t> </w:t>
            </w:r>
            <w:r w:rsidRPr="00327A27">
              <w:rPr>
                <w:rFonts w:ascii="Arial" w:eastAsia="Times New Roman" w:hAnsi="Arial" w:cs="Arial" w:hint="cs"/>
                <w:b/>
                <w:bCs/>
                <w:kern w:val="0"/>
                <w:sz w:val="28"/>
                <w:szCs w:val="28"/>
                <w:rtl/>
                <w:lang w:eastAsia="en-GB"/>
                <w14:ligatures w14:val="none"/>
              </w:rPr>
              <w:t>–</w:t>
            </w:r>
            <w:r w:rsidRPr="00327A27">
              <w:rPr>
                <w:rFonts w:ascii="Calibri" w:eastAsia="Times New Roman" w:hAnsi="Calibri" w:cs="Calibri" w:hint="cs"/>
                <w:b/>
                <w:bCs/>
                <w:kern w:val="0"/>
                <w:sz w:val="28"/>
                <w:szCs w:val="28"/>
                <w:rtl/>
                <w:lang w:eastAsia="en-GB"/>
                <w14:ligatures w14:val="none"/>
              </w:rPr>
              <w:t> </w:t>
            </w:r>
            <w:r w:rsidRPr="00327A27">
              <w:rPr>
                <w:rFonts w:ascii="Times New Roman" w:eastAsia="Times New Roman" w:hAnsi="Times New Roman" w:cs="B Nazanin" w:hint="cs"/>
                <w:b/>
                <w:bCs/>
                <w:kern w:val="0"/>
                <w:sz w:val="28"/>
                <w:szCs w:val="28"/>
                <w:rtl/>
                <w:lang w:eastAsia="en-GB"/>
                <w14:ligatures w14:val="none"/>
              </w:rPr>
              <w:t>ویروس شناسی و موارد مشابه اشاره کرد که امکان کسب امتیاز از برنامه های آزمایشگاهی برای آن ها وجود دارد</w:t>
            </w:r>
          </w:p>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Times New Roman" w:eastAsia="Times New Roman" w:hAnsi="Times New Roman" w:cs="B Nazanin" w:hint="cs"/>
                <w:b/>
                <w:bCs/>
                <w:kern w:val="0"/>
                <w:sz w:val="28"/>
                <w:szCs w:val="28"/>
                <w:rtl/>
                <w:lang w:eastAsia="en-GB"/>
                <w14:ligatures w14:val="none"/>
              </w:rPr>
              <w:t>ب) مدارک تحصیلی رشته های غیر همسو:</w:t>
            </w:r>
          </w:p>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Times New Roman" w:eastAsia="Times New Roman" w:hAnsi="Times New Roman" w:cs="B Nazanin" w:hint="cs"/>
                <w:b/>
                <w:bCs/>
                <w:kern w:val="0"/>
                <w:sz w:val="28"/>
                <w:szCs w:val="28"/>
                <w:rtl/>
                <w:lang w:eastAsia="en-GB"/>
                <w14:ligatures w14:val="none"/>
              </w:rPr>
              <w:t>شامل مدارک دانش آموختگی در مقاطع تحصیلی عالی هستند که به واسطه تحصیل در رشته های تحصیلی متمایز حاصل می شودوهیچ یک پیش نیاز دیگری برای ادامه تحصیلی نمی باشد.به عنوان مثال : متخصص زنان و زایمان و دکترای علوم آزمایشگاهی .</w:t>
            </w:r>
          </w:p>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Times New Roman" w:eastAsia="Times New Roman" w:hAnsi="Times New Roman" w:cs="B Nazanin" w:hint="cs"/>
                <w:b/>
                <w:bCs/>
                <w:kern w:val="0"/>
                <w:sz w:val="28"/>
                <w:szCs w:val="28"/>
                <w:rtl/>
                <w:lang w:eastAsia="en-GB"/>
                <w14:ligatures w14:val="none"/>
              </w:rPr>
              <w:t>توضیح :مشمولین دارای مدرک تحصیلی غیر همسو می توانند با مراجعه به مرکز میزبان و ارائه مدرک لازم نسبت به ثبت آن ها در سامانه جامع آموزش مداوم اقدام نمایند در این صورت این مشولین اجازه دارند از طریق شرکت در برنامه های مرتبط در رشته های مورد نظر امتیاز دریافت نمایند.</w:t>
            </w:r>
          </w:p>
          <w:p w:rsidR="00327A27" w:rsidRPr="00327A27" w:rsidRDefault="00327A27" w:rsidP="00327A27">
            <w:pPr>
              <w:bidi/>
              <w:spacing w:before="100" w:beforeAutospacing="1" w:after="100" w:afterAutospacing="1" w:line="300" w:lineRule="atLeast"/>
              <w:rPr>
                <w:rFonts w:ascii="Times New Roman" w:eastAsia="Times New Roman" w:hAnsi="Times New Roman" w:cs="B Nazanin"/>
                <w:kern w:val="0"/>
                <w:sz w:val="28"/>
                <w:szCs w:val="28"/>
                <w:rtl/>
                <w:lang w:eastAsia="en-GB"/>
                <w14:ligatures w14:val="none"/>
              </w:rPr>
            </w:pPr>
            <w:r w:rsidRPr="00327A27">
              <w:rPr>
                <w:rFonts w:ascii="Calibri" w:eastAsia="Times New Roman" w:hAnsi="Calibri" w:cs="Calibri" w:hint="cs"/>
                <w:kern w:val="0"/>
                <w:sz w:val="28"/>
                <w:szCs w:val="28"/>
                <w:rtl/>
                <w:lang w:eastAsia="en-GB"/>
                <w14:ligatures w14:val="none"/>
              </w:rPr>
              <w:t> </w:t>
            </w:r>
          </w:p>
        </w:tc>
      </w:tr>
    </w:tbl>
    <w:p w:rsidR="00327A27" w:rsidRPr="00327A27" w:rsidRDefault="00327A27" w:rsidP="00327A27">
      <w:pPr>
        <w:bidi/>
        <w:rPr>
          <w:rFonts w:cs="B Nazanin" w:hint="cs"/>
          <w:b/>
          <w:bCs/>
          <w:sz w:val="28"/>
          <w:szCs w:val="28"/>
          <w:rtl/>
          <w:lang w:val="en-US" w:bidi="fa-IR"/>
        </w:rPr>
      </w:pPr>
    </w:p>
    <w:sectPr w:rsidR="00327A27" w:rsidRPr="00327A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tr">
    <w:panose1 w:val="00000000000000000000"/>
    <w:charset w:val="00"/>
    <w:family w:val="roman"/>
    <w:notTrueType/>
    <w:pitch w:val="default"/>
  </w:font>
  <w:font w:name="BYekan">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27"/>
    <w:rsid w:val="00327A27"/>
    <w:rsid w:val="00FB1E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6E82"/>
  <w15:chartTrackingRefBased/>
  <w15:docId w15:val="{5A3FDCB3-540F-47E3-8457-5BF66095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11714">
      <w:bodyDiv w:val="1"/>
      <w:marLeft w:val="0"/>
      <w:marRight w:val="0"/>
      <w:marTop w:val="0"/>
      <w:marBottom w:val="0"/>
      <w:divBdr>
        <w:top w:val="none" w:sz="0" w:space="0" w:color="auto"/>
        <w:left w:val="none" w:sz="0" w:space="0" w:color="auto"/>
        <w:bottom w:val="none" w:sz="0" w:space="0" w:color="auto"/>
        <w:right w:val="none" w:sz="0" w:space="0" w:color="auto"/>
      </w:divBdr>
      <w:divsChild>
        <w:div w:id="91589756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1</cp:revision>
  <dcterms:created xsi:type="dcterms:W3CDTF">2023-04-30T17:36:00Z</dcterms:created>
  <dcterms:modified xsi:type="dcterms:W3CDTF">2023-04-30T17:40:00Z</dcterms:modified>
</cp:coreProperties>
</file>